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6F" w:rsidRPr="00CB626F" w:rsidRDefault="00CB626F" w:rsidP="00CB626F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CB626F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Об утверждении показателей деятельности образовательной организации, подлежащей самообследованию (с изменениями на 15 февраля 2017 года)</w:t>
      </w:r>
    </w:p>
    <w:p w:rsidR="00CB626F" w:rsidRPr="00CB626F" w:rsidRDefault="00CB626F" w:rsidP="00CB626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  <w:r w:rsidRPr="00CB626F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t>МИНИСТЕРСТВО ОБРАЗОВАНИЯ И НАУКИ РОССИЙСКОЙ ФЕДЕРАЦИИ</w:t>
      </w:r>
    </w:p>
    <w:p w:rsidR="00CB626F" w:rsidRPr="00CB626F" w:rsidRDefault="00CB626F" w:rsidP="00CB626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  <w:r w:rsidRPr="00CB626F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t>ПРИКАЗ</w:t>
      </w:r>
    </w:p>
    <w:p w:rsidR="00CB626F" w:rsidRPr="00CB626F" w:rsidRDefault="00CB626F" w:rsidP="00CB626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  <w:r w:rsidRPr="00CB626F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t>от 10 декабря 2013 года N 1324</w:t>
      </w:r>
    </w:p>
    <w:p w:rsidR="00CB626F" w:rsidRPr="00CB626F" w:rsidRDefault="00CB626F" w:rsidP="00CB626F">
      <w:pPr>
        <w:shd w:val="clear" w:color="auto" w:fill="FFFFFF"/>
        <w:spacing w:before="96" w:after="48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  <w:r w:rsidRPr="00CB626F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t>Об утверждении показателей деятельности образовательной организации, подлежащей самообследованию</w:t>
      </w:r>
    </w:p>
    <w:p w:rsidR="00CB626F" w:rsidRPr="00CB626F" w:rsidRDefault="00CB626F" w:rsidP="00CB626F">
      <w:pPr>
        <w:shd w:val="clear" w:color="auto" w:fill="FFFFFF"/>
        <w:spacing w:after="0" w:line="20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t>(с изменениями на 15 февраля 2017 года)</w:t>
      </w:r>
    </w:p>
    <w:p w:rsidR="00CB626F" w:rsidRPr="00CB626F" w:rsidRDefault="00CB626F" w:rsidP="00CB626F">
      <w:pPr>
        <w:shd w:val="clear" w:color="auto" w:fill="FFFFFF"/>
        <w:spacing w:after="0" w:line="202" w:lineRule="atLeas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t>____________________________________________________________________ 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  <w:t>Документ с изменениями, внесенными: 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  <w:hyperlink r:id="rId4" w:history="1">
        <w:r w:rsidRPr="00CB626F">
          <w:rPr>
            <w:rFonts w:ascii="Arial" w:eastAsia="Times New Roman" w:hAnsi="Arial" w:cs="Arial"/>
            <w:color w:val="00466E"/>
            <w:spacing w:val="1"/>
            <w:sz w:val="13"/>
            <w:u w:val="single"/>
            <w:lang w:eastAsia="ru-RU"/>
          </w:rPr>
          <w:t>приказом Минобрнауки России от 15 февраля 2017 года N 136</w:t>
        </w:r>
      </w:hyperlink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t> (Официальный интернет-портал правовой информации www.pravo.gov.ru, 20.03.2017, N 0001201703200046). 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  <w:t>____________________________________________________________________</w:t>
      </w:r>
    </w:p>
    <w:p w:rsidR="00CB626F" w:rsidRPr="00CB626F" w:rsidRDefault="00CB626F" w:rsidP="00CB626F">
      <w:pPr>
        <w:shd w:val="clear" w:color="auto" w:fill="FFFFFF"/>
        <w:spacing w:after="0" w:line="202" w:lineRule="atLeas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  <w:t>В соответствии с </w:t>
      </w:r>
      <w:hyperlink r:id="rId5" w:history="1">
        <w:r w:rsidRPr="00CB626F">
          <w:rPr>
            <w:rFonts w:ascii="Arial" w:eastAsia="Times New Roman" w:hAnsi="Arial" w:cs="Arial"/>
            <w:color w:val="00466E"/>
            <w:spacing w:val="1"/>
            <w:sz w:val="13"/>
            <w:u w:val="single"/>
            <w:lang w:eastAsia="ru-RU"/>
          </w:rPr>
          <w:t>пунктом 3 части 2 статьи 29 Федерального закона от 29 декабря 2012 года N 273-ФЗ "Об образовании в Российской Федерации"</w:t>
        </w:r>
      </w:hyperlink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t xml:space="preserve"> (Собрание законодательства Российской Федерации, 2012, N 53, ст.7598; 2013, N 19, ст.2326; N 23, ст.2878; N 30, ст.4036; </w:t>
      </w:r>
      <w:proofErr w:type="gramStart"/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t>N 48, ст.6165) и </w:t>
      </w:r>
      <w:hyperlink r:id="rId6" w:history="1">
        <w:r w:rsidRPr="00CB626F">
          <w:rPr>
            <w:rFonts w:ascii="Arial" w:eastAsia="Times New Roman" w:hAnsi="Arial" w:cs="Arial"/>
            <w:color w:val="00466E"/>
            <w:spacing w:val="1"/>
            <w:sz w:val="13"/>
            <w:u w:val="single"/>
            <w:lang w:eastAsia="ru-RU"/>
          </w:rPr>
          <w:t>подпунктом 5.2.15 Положения о Министерстве образования и науки Российской Федерации</w:t>
        </w:r>
      </w:hyperlink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t>, утвержденного </w:t>
      </w:r>
      <w:hyperlink r:id="rId7" w:history="1">
        <w:r w:rsidRPr="00CB626F">
          <w:rPr>
            <w:rFonts w:ascii="Arial" w:eastAsia="Times New Roman" w:hAnsi="Arial" w:cs="Arial"/>
            <w:color w:val="00466E"/>
            <w:spacing w:val="1"/>
            <w:sz w:val="13"/>
            <w:u w:val="single"/>
            <w:lang w:eastAsia="ru-RU"/>
          </w:rPr>
          <w:t>постановлением Правительства Российской Федерации от 3 июня 2013 года N 466</w:t>
        </w:r>
      </w:hyperlink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t> (Собрание законодательства Российской Федерации, 2013, N 23, ст.2923; N 33, ст.4386; N 37, ст.4702), 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  <w:t>приказываю:</w:t>
      </w:r>
      <w:proofErr w:type="gramEnd"/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  <w:proofErr w:type="gramStart"/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t>Утвердить: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  <w:t>показатели деятельности дошкольной образовательной организации, подлежащей самообследованию (приложение N 1);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  <w:t>показатели деятельности общеобразовательной организации, подлежащей самообследованию (приложение N 2);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  <w:t>показатели деятельности профессиональной образовательной организации, подлежащей самообследованию (приложение N 3);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  <w:t>показатели деятельности образовательной организации высшего образования, подлежащей самообследованию (приложение N 4);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  <w:t>показатели деятельности организации дополнительного образования, подлежащей самообследованию (приложение N 5);</w:t>
      </w:r>
      <w:proofErr w:type="gramEnd"/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  <w:t>показатели деятельности организации дополнительного профессионального образования, подлежащей самообследованию (приложение N 6).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</w:p>
    <w:p w:rsidR="00CB626F" w:rsidRPr="00CB626F" w:rsidRDefault="00CB626F" w:rsidP="00CB626F">
      <w:pPr>
        <w:shd w:val="clear" w:color="auto" w:fill="FFFFFF"/>
        <w:spacing w:after="0" w:line="20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t>Министр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  <w:t>Д.Ливанов</w:t>
      </w:r>
    </w:p>
    <w:p w:rsidR="00CB626F" w:rsidRPr="00CB626F" w:rsidRDefault="00CB626F" w:rsidP="00CB626F">
      <w:pPr>
        <w:shd w:val="clear" w:color="auto" w:fill="FFFFFF"/>
        <w:spacing w:after="0" w:line="202" w:lineRule="atLeas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  <w:t>Зарегистрировано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  <w:t>в Министерстве юстиции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  <w:t>Российской Федерации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  <w:t>28 января 2014 года,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  <w:proofErr w:type="gramStart"/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t>регистрационный</w:t>
      </w:r>
      <w:proofErr w:type="gramEnd"/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t xml:space="preserve"> N 31135</w:t>
      </w:r>
    </w:p>
    <w:p w:rsidR="00CB626F" w:rsidRPr="00CB626F" w:rsidRDefault="00CB626F" w:rsidP="00CB626F">
      <w:pPr>
        <w:shd w:val="clear" w:color="auto" w:fill="FFFFFF"/>
        <w:spacing w:before="240" w:after="14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  <w:r w:rsidRPr="00CB626F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lastRenderedPageBreak/>
        <w:t>Приложение N 1. Показатели деятельности дошкольной образовательной организации, подлежащей самообследованию</w:t>
      </w:r>
    </w:p>
    <w:p w:rsidR="00CB626F" w:rsidRPr="00CB626F" w:rsidRDefault="00CB626F" w:rsidP="00CB626F">
      <w:pPr>
        <w:shd w:val="clear" w:color="auto" w:fill="FFFFFF"/>
        <w:spacing w:after="0" w:line="20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t>Приложение N 1</w:t>
      </w:r>
    </w:p>
    <w:p w:rsidR="00CB626F" w:rsidRPr="00CB626F" w:rsidRDefault="00CB626F" w:rsidP="00CB626F">
      <w:pPr>
        <w:shd w:val="clear" w:color="auto" w:fill="FFFFFF"/>
        <w:spacing w:after="0" w:line="202" w:lineRule="atLeas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76"/>
        <w:gridCol w:w="6265"/>
        <w:gridCol w:w="2214"/>
      </w:tblGrid>
      <w:tr w:rsidR="00CB626F" w:rsidRPr="00CB626F" w:rsidTr="00CB626F">
        <w:trPr>
          <w:trHeight w:val="15"/>
        </w:trPr>
        <w:tc>
          <w:tcPr>
            <w:tcW w:w="924" w:type="dxa"/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N 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/п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Показатели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Единица измерения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Образовательная деятельность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В 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режиме полного дня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 (8-12 часов)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В семейной дошкольной группе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1.4.1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В 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режиме полного дня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 (8-12 часов)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1.4.2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В режиме продленного дня (12-14 часов)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1.4.3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В режиме круглосуточного пребывания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1.5.1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1.5.2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1.5.3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присмотру и уходу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день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1.7.1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1.7.2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1.7.3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1.7.4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1.8.1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Высшая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1.8.2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Первая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1.9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1.9.1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До 5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1.9.2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Свыше 30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1.10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1.15.1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Музыкального руководителя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1.15.2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Инструктора по физической культуре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1.15.3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Учителя-логопеда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1.15.4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Логопеда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1.15.5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Учителя-дефектолога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1.15.6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Педагога-психолога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lastRenderedPageBreak/>
              <w:t>2.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Инфраструктура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кв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.м</w:t>
            </w:r>
            <w:proofErr w:type="gramEnd"/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кв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.м</w:t>
            </w:r>
            <w:proofErr w:type="gramEnd"/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Наличие физкультурного зала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Наличие музыкального зала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</w:tbl>
    <w:p w:rsidR="00CB626F" w:rsidRPr="00CB626F" w:rsidRDefault="00CB626F" w:rsidP="00CB626F">
      <w:pPr>
        <w:shd w:val="clear" w:color="auto" w:fill="FFFFFF"/>
        <w:spacing w:before="240" w:after="14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  <w:r w:rsidRPr="00CB626F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t>Приложение N 2. Показатели деятельности общеобразовательной организации, подлежащей самообследованию</w:t>
      </w:r>
    </w:p>
    <w:p w:rsidR="00CB626F" w:rsidRPr="00CB626F" w:rsidRDefault="00CB626F" w:rsidP="00CB626F">
      <w:pPr>
        <w:shd w:val="clear" w:color="auto" w:fill="FFFFFF"/>
        <w:spacing w:after="0" w:line="20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t>Приложение N 2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</w:p>
    <w:p w:rsidR="00CB626F" w:rsidRPr="00CB626F" w:rsidRDefault="00CB626F" w:rsidP="00CB626F">
      <w:pPr>
        <w:shd w:val="clear" w:color="auto" w:fill="FFFFFF"/>
        <w:spacing w:after="0" w:line="202" w:lineRule="atLeas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79"/>
        <w:gridCol w:w="6302"/>
        <w:gridCol w:w="2174"/>
      </w:tblGrid>
      <w:tr w:rsidR="00CB626F" w:rsidRPr="00CB626F" w:rsidTr="00CB626F">
        <w:trPr>
          <w:trHeight w:val="15"/>
        </w:trPr>
        <w:tc>
          <w:tcPr>
            <w:tcW w:w="924" w:type="dxa"/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N 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/п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Показатели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Единица измерения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Образовательная деятельность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балл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балл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балл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1.9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балл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1.10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1.19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1.19.1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Регионального уровня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1.19.2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Федерального уровня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1.19.3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Международного уровня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1.20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образование, в </w:t>
            </w: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lastRenderedPageBreak/>
              <w:t>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lastRenderedPageBreak/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lastRenderedPageBreak/>
              <w:t>1.26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1.29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1.29.1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Высшая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1.29.2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Первая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1.30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1.30.1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До 5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1.30.2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Свыше 30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1.31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1.32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1.33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1.34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Инфраструктура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2.4.1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2.4.2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 медиатекой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2.4.3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2.4.4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2.4.5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кв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.м</w:t>
            </w:r>
            <w:proofErr w:type="gramEnd"/>
          </w:p>
        </w:tc>
      </w:tr>
    </w:tbl>
    <w:p w:rsidR="00CB626F" w:rsidRPr="00CB626F" w:rsidRDefault="00CB626F" w:rsidP="00CB626F">
      <w:pPr>
        <w:shd w:val="clear" w:color="auto" w:fill="FFFFFF"/>
        <w:spacing w:before="240" w:after="14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  <w:r w:rsidRPr="00CB626F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t>Приложение N 3. Показатели деятельности профессиональной образовательной организации, подлежащей самообследованию</w:t>
      </w:r>
    </w:p>
    <w:p w:rsidR="00CB626F" w:rsidRPr="00CB626F" w:rsidRDefault="00CB626F" w:rsidP="00CB626F">
      <w:pPr>
        <w:shd w:val="clear" w:color="auto" w:fill="FFFFFF"/>
        <w:spacing w:after="0" w:line="20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t>Приложение N 3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</w:p>
    <w:p w:rsidR="00CB626F" w:rsidRPr="00CB626F" w:rsidRDefault="00CB626F" w:rsidP="00CB626F">
      <w:pPr>
        <w:shd w:val="clear" w:color="auto" w:fill="FFFFFF"/>
        <w:spacing w:after="0" w:line="20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t>(с изменениями на 15 февраля 2017 года)</w:t>
      </w:r>
    </w:p>
    <w:p w:rsidR="00CB626F" w:rsidRPr="00CB626F" w:rsidRDefault="00CB626F" w:rsidP="00CB626F">
      <w:pPr>
        <w:shd w:val="clear" w:color="auto" w:fill="FFFFFF"/>
        <w:spacing w:after="0" w:line="202" w:lineRule="atLeas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79"/>
        <w:gridCol w:w="6301"/>
        <w:gridCol w:w="2175"/>
      </w:tblGrid>
      <w:tr w:rsidR="00CB626F" w:rsidRPr="00CB626F" w:rsidTr="00CB626F">
        <w:trPr>
          <w:trHeight w:val="15"/>
        </w:trPr>
        <w:tc>
          <w:tcPr>
            <w:tcW w:w="924" w:type="dxa"/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N 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/п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Показатели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Единица измерения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Образовательная деятельность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очно-заочной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очно-заочной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lastRenderedPageBreak/>
              <w:t>1.4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1.5</w:t>
            </w:r>
          </w:p>
        </w:tc>
        <w:tc>
          <w:tcPr>
            <w:tcW w:w="9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Подпункт утратил силу с 31 марта 2017 года - </w:t>
            </w:r>
            <w:hyperlink r:id="rId8" w:history="1">
              <w:r w:rsidRPr="00CB626F">
                <w:rPr>
                  <w:rFonts w:ascii="Times New Roman" w:eastAsia="Times New Roman" w:hAnsi="Times New Roman" w:cs="Times New Roman"/>
                  <w:color w:val="00466E"/>
                  <w:sz w:val="13"/>
                  <w:u w:val="single"/>
                  <w:lang w:eastAsia="ru-RU"/>
                </w:rPr>
                <w:t>приказ Минобрнауки России от 15 февраля 2017 года N 136</w:t>
              </w:r>
            </w:hyperlink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1.9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1.10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1.11.1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Высшая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1.11.2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Первая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  <w:proofErr w:type="gram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студентов (курсантов) образовательной организации, обучающихся в филиале образовательной организации (далее - филиал)*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_______________</w:t>
            </w: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br/>
              <w:t>* Заполняется для каждого филиала отдельно.</w:t>
            </w: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br/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Финансово-экономическая деятельность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тыс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.р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уб.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тыс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.р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уб.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тыс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.р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уб.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наёмных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%</w:t>
            </w:r>
          </w:p>
        </w:tc>
      </w:tr>
      <w:tr w:rsidR="00CB626F" w:rsidRPr="00CB626F" w:rsidTr="00CB626F">
        <w:tc>
          <w:tcPr>
            <w:tcW w:w="103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(Строка в редакции, введенной в действие с 31 марта 2017 года </w:t>
            </w:r>
            <w:hyperlink r:id="rId9" w:history="1">
              <w:r w:rsidRPr="00CB626F">
                <w:rPr>
                  <w:rFonts w:ascii="Times New Roman" w:eastAsia="Times New Roman" w:hAnsi="Times New Roman" w:cs="Times New Roman"/>
                  <w:color w:val="00466E"/>
                  <w:sz w:val="13"/>
                  <w:u w:val="single"/>
                  <w:lang w:eastAsia="ru-RU"/>
                </w:rPr>
                <w:t>приказом Минобрнауки России от 15 февраля 2017 года N 136</w:t>
              </w:r>
            </w:hyperlink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</w:t>
            </w:r>
            <w:proofErr w:type="gramEnd"/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Инфраструктура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кв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.м</w:t>
            </w:r>
            <w:proofErr w:type="gramEnd"/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студентов (курсантов) 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для 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инвалидов и лиц с ограниченными возможностями здоровья, обучающихся по программам подготовки квалифицированных рабочих, служащих, в том числе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4.3.1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4.3.2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очно-заочной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4.3.3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квалифицированных рабочих, служащих, в том числе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4.4.1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4.4.2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очно-заочной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4.4.3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4.5.1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4.5.2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очно-заочной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4.5.3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4.6.1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4.6.2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очно-заочной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4.6.3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инвалидов и лиц с ограниченными возможностями здоровья 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</w:t>
            </w:r>
            <w:proofErr w:type="gram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103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(Пункт 4 дополнительно включен с 31 марта 2017 года </w:t>
            </w:r>
            <w:hyperlink r:id="rId10" w:history="1">
              <w:r w:rsidRPr="00CB626F">
                <w:rPr>
                  <w:rFonts w:ascii="Times New Roman" w:eastAsia="Times New Roman" w:hAnsi="Times New Roman" w:cs="Times New Roman"/>
                  <w:color w:val="00466E"/>
                  <w:sz w:val="13"/>
                  <w:u w:val="single"/>
                  <w:lang w:eastAsia="ru-RU"/>
                </w:rPr>
                <w:t>приказом Минобрнауки России от 15 февраля 2017 года N 136</w:t>
              </w:r>
            </w:hyperlink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br/>
            </w:r>
          </w:p>
        </w:tc>
      </w:tr>
    </w:tbl>
    <w:p w:rsidR="00CB626F" w:rsidRPr="00CB626F" w:rsidRDefault="00CB626F" w:rsidP="00CB626F">
      <w:pPr>
        <w:shd w:val="clear" w:color="auto" w:fill="FFFFFF"/>
        <w:spacing w:before="240" w:after="14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  <w:r w:rsidRPr="00CB626F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t>Приложение N 4. Показатели деятельности образовательной организации высшего образования, подлежащей самообследованию</w:t>
      </w:r>
    </w:p>
    <w:p w:rsidR="00CB626F" w:rsidRPr="00CB626F" w:rsidRDefault="00CB626F" w:rsidP="00CB626F">
      <w:pPr>
        <w:shd w:val="clear" w:color="auto" w:fill="FFFFFF"/>
        <w:spacing w:after="0" w:line="20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t>Приложение N 4</w:t>
      </w:r>
    </w:p>
    <w:p w:rsidR="00CB626F" w:rsidRPr="00CB626F" w:rsidRDefault="00CB626F" w:rsidP="00CB626F">
      <w:pPr>
        <w:shd w:val="clear" w:color="auto" w:fill="FFFFFF"/>
        <w:spacing w:after="0" w:line="20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t>(с изменениями на 15 февраля 2017 года) 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75"/>
        <w:gridCol w:w="6284"/>
        <w:gridCol w:w="2196"/>
      </w:tblGrid>
      <w:tr w:rsidR="00CB626F" w:rsidRPr="00CB626F" w:rsidTr="00CB626F">
        <w:trPr>
          <w:trHeight w:val="15"/>
        </w:trPr>
        <w:tc>
          <w:tcPr>
            <w:tcW w:w="924" w:type="dxa"/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N 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/п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Показатели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Единица измерения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Образовательная деятельность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студентов (курсантов), обучающихся по образовательным программам бакалавриата, программам специалитета, программам магистратуры,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очно-заочной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аспирантов (адъюнктов, ординаторов, интернов, ассистентов-стажеров), обучающихся по образовательным программам подготовки научно-педагогических кадров в аспирантуре (адъюнктуре), программам ординатуры, программам ассистентуры-стажировки,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очно-заочной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студентов (курсантов), обучающихся по образовательным программам среднего профессионального образования,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1.3.1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1.3.2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очно-заочной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1.3.3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Средний балл студентов (курсантов), принятых по результатам единого государственного экзамена на первый курс на 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обучение по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 очной форме по программам бакалавриата и специалитета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баллы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Средний балл студентов (курсантов), принятых по результатам дополнительных вступительных испытаний на первый курс на 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обучение по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 очной форме по программам бакалавриата и специалитета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баллы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Средний балл студентов (курсантов), принятых по результатам единого государственного экзамена и результатам дополнительных вступительных испытаний на 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обучение по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 очной форме по программам бакалавриата и специалитета за счет средств соответствующих бюджетов бюджетной системы Российской Федерации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баллы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Численность студентов (курсантов) - победителей и призеров заключительного этапа всероссийской </w:t>
            </w: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lastRenderedPageBreak/>
              <w:t>олимпиады школьников, членов сборных команд Российской Федерации, участвовавших в международных олимпиадах по общеобразовательным предметам по специальностям и (или) направлениям подготовки, соответствующим профилю всероссийской олимпиады школьников или международной олимпиады, принятых на очную форму обучения на первый курс по программам бакалавриата и специалитета без вступительных испытаний</w:t>
            </w:r>
            <w:proofErr w:type="gram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lastRenderedPageBreak/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lastRenderedPageBreak/>
              <w:t>1.8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 студентов (курсантов) - победителей и призеров олимпиад школьников, принятых на очную форму обучения на первый курс по программам бакалавриата и специалитета по специальностям и направлениям подготовки, соответствующим профилю олимпиады школьников, без вступительных испытаний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1.9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Численность/удельный вес численности студентов (курсантов), принятых на условиях целевого приема на первый курс на очную форму 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обучения по программам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 бакалавриата и специалитета в общей численности студентов (курсантов), принятых на первый курс по программам бакалавриата и специалитета на очную форму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1.10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Удельный вес численности студентов (курсантов), обучающихся по программам магистратуры, в общей численности студентов (курсантов), обучающихся по образовательным программам бакалавриата, программам специалитета, программам магистратуры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Численность/удельный вес численности студентов (курсантов), имеющих диплом бакалавра, диплом специалиста или диплом магистра других организаций, осуществляющих образовательную деятельность, принятых на первый курс на 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обучение по программам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 магистратуры образовательной организации, в общей численности студентов (курсантов), принятых на первый курс по программам магистратуры на очную форму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студентов образовательной организации, обучающихся в филиале образовательной организации (далее - филиал)*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_______________</w:t>
            </w: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br/>
              <w:t>* Заполняется для каждого филиала отдельно.</w:t>
            </w: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br/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цитирований в индексируемой системе цитирования Web of Science в расчете на 100 научно-педагогических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цитирований в индексируемой системе цитирования Scopus в расчете на 100 научно-педагогических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цитирований в Российском индексе научного цитирования (далее - РИНЦ) в расчете на 100 научно-педагогических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статей в научной периодике, индексируемой в системе цитирования Web of Science в расчете на 100 научно-педагогических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статей в научной периодике, индексируемой в системе цитирования Scopus в расчете на 100 научно-педагогических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Общий объем научно-исследовательских, опытно-конструкторских и технологических работ (далее - НИОКР)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тыс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.р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уб.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тыс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.р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уб.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2.9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Удельный вес доходов от НИОКР в общих доходах образовательной организации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2.10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Доходы от НИОКР (за исключением средств бюджетов бюджетной системы Российской Федерации, государственных фондов поддержки науки) в расчете на одного научно-педагогического работника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тыс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.р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уб.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лицензионных соглашений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Удельный вес средств, полученных образовательной организацией от управления объектами интеллектуальной собственности, в общих доходах образовательной организации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научно-педагогических работников, имеющих ученую степень кандидата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научно-педагогических работников, имеющих ученую степень доктора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научно-педагогических работников, имеющих ученую степень кандидата и доктора наук в общей численности научно-педагогических работников филиала (без совместителей и работающих по договорам гражданско-правового характера)*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_______________</w:t>
            </w: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br/>
              <w:t>* Заполняется для каждого филиала отдельно.</w:t>
            </w: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br/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научных журналов, в том числе электронных, издаваемых образовательной организацией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2.19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грантов за отчетный период в расчете на 100 научно-педагогических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Международная деятельность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иностранных студентов (курсантов) (кроме стран Содружества Независимых Государств (далее - СНГ),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  <w:proofErr w:type="gram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3.1.1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lastRenderedPageBreak/>
              <w:t>3.1.2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очно-заочной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3.1.3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иностранных студентов (курсантов) из стран СНГ,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3.2.1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3.2.2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очно-заочной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3.2.3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иностранных студентов (курсантов) (кроме стран СНГ),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иностранных студентов (курсантов) из стран СНГ,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Численность/удельный вес численности студентов (курсантов) образовательной организации, обучающихся по очной форме 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обучения по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 образовательным программам бакалавриата, программам специалитета, программам магистратуры, прошедших обучение за рубежом не менее семестра (триместра), в общей численности студентов (курсантов)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Численность студентов (курсантов) иностранных образовательных организаций, прошедших обучение в образовательной организации по очной форме 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обучения по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 образовательным программам бакалавриата, программам специалитета, программам магистратуры, не менее семестра (триместра)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иностранных граждан из числа научно-педагогических работников в общей численности научно-педагогических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иностранных граждан (кроме стран СНГ)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  <w:proofErr w:type="gram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3.9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иностранных граждан стран СНГ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3.10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Объем средств, полученных образовательной организацией на выполнение НИОКР от иностранных граждан и иностранных юридических лиц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тыс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.р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уб.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3.11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Объем средств от образовательной деятельности, полученных образовательной организацией от иностранных граждан и иностранных юридических лиц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тыс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.р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уб.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4.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Финансово-экономическая деятельность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тыс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.р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уб.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тыс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.р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уб.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тыс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.р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уб.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Отношение среднего заработка научно-педагогического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%</w:t>
            </w:r>
          </w:p>
        </w:tc>
      </w:tr>
      <w:tr w:rsidR="00CB626F" w:rsidRPr="00CB626F" w:rsidTr="00CB626F">
        <w:tc>
          <w:tcPr>
            <w:tcW w:w="103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(Строка в редакции, введенной в действие с 31 марта 2017 года </w:t>
            </w:r>
            <w:hyperlink r:id="rId11" w:history="1">
              <w:r w:rsidRPr="00CB626F">
                <w:rPr>
                  <w:rFonts w:ascii="Times New Roman" w:eastAsia="Times New Roman" w:hAnsi="Times New Roman" w:cs="Times New Roman"/>
                  <w:color w:val="00466E"/>
                  <w:sz w:val="13"/>
                  <w:u w:val="single"/>
                  <w:lang w:eastAsia="ru-RU"/>
                </w:rPr>
                <w:t>приказом Минобрнауки России от 15 февраля 2017 года N 136</w:t>
              </w:r>
            </w:hyperlink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</w:t>
            </w:r>
            <w:proofErr w:type="gramEnd"/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5.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Инфраструктура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5.1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площадь помещений, в которых осуществляется образовательная деятельность, в расчете на одного студента (курсанта),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кв.м.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5.1.1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Имеющихся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 у образовательной организации на праве собственности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кв.м.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5.1.2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Закрепленных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 за образовательной организацией на праве оперативного управления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кв.м.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5.1.3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Предоставленных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 образовательной организации в аренду, безвозмездное пользование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кв.м.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5.2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компьютеров в расчете на одного студента (курсанта)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5.3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Удельный вес стоимости оборудования (не старше 5 лет) образовательной организации в общей стоимости оборудования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5.4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студента (курсанта)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5.5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Удельный вес укрупненных групп специальностей и направлений подготовки, обеспеченных электронными учебными изданиями (включая учебники и учебные пособия) в количестве не менее 20 изданий по основным областям знаний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5.6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6.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студентов (курсантов) из числа инвалидов и лиц с ограниченными возможностями здоровья, обучающихся по программам бакалавриата, программам специалитета и программам магистратуры, в общей численности студентов (курсантов), обучающихся по программам бакалавриата, программам специалитета и программам магистратуры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Общее количество адаптированных образовательных программ высшего образования, в том числе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6.2.1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программ бакалавриата и программ специалитета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для 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6.2.2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программ магистратуры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для 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инвалидов и лиц с ограниченными возможностями здоровья, обучающихся по программам бакалавриата и программам специалитета, в том числе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6.3.1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6.3.2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очно-заочной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6.3.3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инвалидов и лиц с ограниченными возможностями здоровья, обучающихся по адаптированным программам бакалавриата и программам специалитета, в том числе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6.4.1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6.4.2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очно-заочной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6.4.3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инвалидов и лиц с ограниченными возможностями здоровья, обучающихся по программам магистратуры, в том числе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6.5.1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инвалидов и лиц с ограниченными возможностями здоровья с нарушениями опорно-двигательного </w:t>
            </w: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lastRenderedPageBreak/>
              <w:t>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lastRenderedPageBreak/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6.5.2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очно-заочной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6.5.3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инвалидов и лиц с ограниченными возможностями здоровья, обучающихся по адаптированным программам бакалавриата и программам специалитета, в том числе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6.6.1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6.6.2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очно-заочной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6.6.3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 заочной форме обучения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два и более нарушений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работников образовательной организации, прошедших повышение квалификации по вопросам получения высшего образования инвалидами и лицами с ограниченными возможностями здоровья, в общей численности работников образовательной организации, </w:t>
            </w: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br/>
              <w:t>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6.7.1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профессорско-преподавательского состава, прошедшего повышение квалификации по вопросам получения высшего образования инвалидами и лицами с ограниченными возможностями здоровья, </w:t>
            </w: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br/>
              <w:t>в общей численности профессорско-преподавательского состава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6.7.2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учебно-вспомогательного персонала, прошедшего повышение квалификации по вопросам получения высшего образования инвалидами и лицами с ограниченными возможностями здоровья, в общей численности учебно-вспомогательного персонала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103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(Пункт 6 дополнительно включен с 31 марта 2017 года </w:t>
            </w:r>
            <w:hyperlink r:id="rId12" w:history="1">
              <w:r w:rsidRPr="00CB626F">
                <w:rPr>
                  <w:rFonts w:ascii="Times New Roman" w:eastAsia="Times New Roman" w:hAnsi="Times New Roman" w:cs="Times New Roman"/>
                  <w:color w:val="00466E"/>
                  <w:sz w:val="13"/>
                  <w:u w:val="single"/>
                  <w:lang w:eastAsia="ru-RU"/>
                </w:rPr>
                <w:t>приказом Минобрнауки России от 15 февраля 2017 года N 136</w:t>
              </w:r>
            </w:hyperlink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)</w:t>
            </w: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br/>
            </w:r>
          </w:p>
        </w:tc>
      </w:tr>
    </w:tbl>
    <w:p w:rsidR="00CB626F" w:rsidRPr="00CB626F" w:rsidRDefault="00CB626F" w:rsidP="00CB626F">
      <w:pPr>
        <w:shd w:val="clear" w:color="auto" w:fill="FFFFFF"/>
        <w:spacing w:before="240" w:after="14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  <w:r w:rsidRPr="00CB626F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t>Приложение N 5. Показатели деятельности организации дополнительного образования, подлежащей самообследованию</w:t>
      </w:r>
    </w:p>
    <w:p w:rsidR="00CB626F" w:rsidRPr="00CB626F" w:rsidRDefault="00CB626F" w:rsidP="00CB626F">
      <w:pPr>
        <w:shd w:val="clear" w:color="auto" w:fill="FFFFFF"/>
        <w:spacing w:after="0" w:line="20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t>Приложение N 5</w:t>
      </w:r>
    </w:p>
    <w:p w:rsidR="00CB626F" w:rsidRPr="00CB626F" w:rsidRDefault="00CB626F" w:rsidP="00CB626F">
      <w:pPr>
        <w:shd w:val="clear" w:color="auto" w:fill="FFFFFF"/>
        <w:spacing w:after="0" w:line="20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</w:p>
    <w:p w:rsidR="00CB626F" w:rsidRPr="00CB626F" w:rsidRDefault="00CB626F" w:rsidP="00CB626F">
      <w:pPr>
        <w:shd w:val="clear" w:color="auto" w:fill="FFFFFF"/>
        <w:spacing w:after="0" w:line="202" w:lineRule="atLeas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79"/>
        <w:gridCol w:w="6302"/>
        <w:gridCol w:w="2174"/>
      </w:tblGrid>
      <w:tr w:rsidR="00CB626F" w:rsidRPr="00CB626F" w:rsidTr="00CB626F">
        <w:trPr>
          <w:trHeight w:val="15"/>
        </w:trPr>
        <w:tc>
          <w:tcPr>
            <w:tcW w:w="924" w:type="dxa"/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N 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/п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Показатели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Единица измерения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Образовательная деятельность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Детей дошкольного возраста (3-7 лет)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Детей младшего школьного возраста (7-11 лет)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Детей среднего школьного возраста (11-15 лет)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Детей старшего школьного возраста (15-17 лет)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1.6.1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1.6.2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1.6.3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Дети-мигранты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1.6.4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1.8.1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 муниципальном уровне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1.8.2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 региональном уровне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1.8.3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 межрегиональном уровне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1.8.4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 федеральном уровне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1.8.5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 международном уровне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1.9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1.9.1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 муниципальном уровне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1.9.2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 региональном уровне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1.9.3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 межрегиональном уровне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1.9.4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 федеральном уровне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1.9.5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 международном уровне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1.10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1.10.1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Муниципального уровня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1.10.2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Регионального уровня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1.10.3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Межрегионального уровня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1.10.4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Федерального уровня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1.10.5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Международного уровня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1.11.1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 муниципальном уровне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1.11.2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 региональном уровне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1.11.3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 межрегиональном уровне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1.11.4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 федеральном уровне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1.11.5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 международном уровне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1.17.1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Высшая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1.17.2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Первая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1.18.1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До 5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lastRenderedPageBreak/>
              <w:t>1.18.2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Свыше 30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1.19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1.20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1.23.1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За 3 года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1.23.2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За отчетный период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Инфраструктура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2.2.1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Учебный класс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2.2.2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Лаборатория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2.2.3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Мастерская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2.2.4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Танцевальный класс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2.2.5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Спортивный зал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2.2.6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Бассейн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2.3.1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Актовый зал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2.3.2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Концертный зал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2.3.3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Игровое помещение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2.6.1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2.6.2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 медиатекой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2.6.3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2.6.4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2.6.5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да/нет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</w:tbl>
    <w:p w:rsidR="00CB626F" w:rsidRPr="00CB626F" w:rsidRDefault="00CB626F" w:rsidP="00CB626F">
      <w:pPr>
        <w:shd w:val="clear" w:color="auto" w:fill="FFFFFF"/>
        <w:spacing w:before="240" w:after="14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  <w:r w:rsidRPr="00CB626F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t>Приложение N 6. Показатели деятельности организации дополнительного профессионального образования, подлежащей самообследованию</w:t>
      </w:r>
    </w:p>
    <w:p w:rsidR="00CB626F" w:rsidRPr="00CB626F" w:rsidRDefault="00CB626F" w:rsidP="00CB626F">
      <w:pPr>
        <w:shd w:val="clear" w:color="auto" w:fill="FFFFFF"/>
        <w:spacing w:after="0" w:line="20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t>Приложение N 6</w:t>
      </w:r>
    </w:p>
    <w:p w:rsidR="00CB626F" w:rsidRPr="00CB626F" w:rsidRDefault="00CB626F" w:rsidP="00CB626F">
      <w:pPr>
        <w:shd w:val="clear" w:color="auto" w:fill="FFFFFF"/>
        <w:spacing w:after="0" w:line="20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</w:p>
    <w:p w:rsidR="00CB626F" w:rsidRPr="00CB626F" w:rsidRDefault="00CB626F" w:rsidP="00CB626F">
      <w:pPr>
        <w:shd w:val="clear" w:color="auto" w:fill="FFFFFF"/>
        <w:spacing w:after="0" w:line="202" w:lineRule="atLeas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83"/>
        <w:gridCol w:w="6278"/>
        <w:gridCol w:w="2194"/>
      </w:tblGrid>
      <w:tr w:rsidR="00CB626F" w:rsidRPr="00CB626F" w:rsidTr="00CB626F">
        <w:trPr>
          <w:trHeight w:val="15"/>
        </w:trPr>
        <w:tc>
          <w:tcPr>
            <w:tcW w:w="924" w:type="dxa"/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N 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/п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Показатели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Единица измерения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Образовательная деятельность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1.4.1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Программ повышения квалификации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1.4.2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Программ профессиональной переподготовки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lastRenderedPageBreak/>
              <w:t>1.5.1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Программ повышения квалификации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1.5.2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Программ профессиональной переподготовки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</w:t>
            </w: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br/>
              <w:t>профессиональных программ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1.9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1.10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1.10.1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Высшая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1.10.2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Первая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лет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1.12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цитирований в индексируемой системе цитирования Web of Science в расчете на 100 научно-педагогических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цитирований в индексируемой системе цитирования Scopus в расчете на 100 научно-педагогических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статей в научной периодике, индексируемой в системе цитирования Web of Science в расчете на 100 научно-педагогических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статей в научной периодике, индексируемой в системе цитирования Scopus в расчете на 100 научно-педагогических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Общий объем НИОКР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тыс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.р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уб.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тыс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.р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уб.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2.9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Удельный вес доходов от НИОКР в общих доходах образовательной организации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2.10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человек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чел./%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2.15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Финансово-экономическая деятельность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тыс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.р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уб.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тыс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.р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уб.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3.3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тыс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.р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уб.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4.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b/>
                <w:bCs/>
                <w:color w:val="2D2D2D"/>
                <w:sz w:val="13"/>
                <w:szCs w:val="13"/>
                <w:lang w:eastAsia="ru-RU"/>
              </w:rPr>
              <w:t>Инфраструктура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кв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.м</w:t>
            </w:r>
            <w:proofErr w:type="gramEnd"/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4.1.1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Имеющихся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 у образовательной организации на праве собственности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кв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.м</w:t>
            </w:r>
            <w:proofErr w:type="gramEnd"/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4.1.2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Закрепленных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 за образовательной организацией на праве оперативного управления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кв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.м</w:t>
            </w:r>
            <w:proofErr w:type="gramEnd"/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4.1.3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Предоставленных</w:t>
            </w:r>
            <w:proofErr w:type="gramEnd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 xml:space="preserve"> образовательной организации в аренду, безвозмездное пользование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кв</w:t>
            </w:r>
            <w:proofErr w:type="gramStart"/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.м</w:t>
            </w:r>
            <w:proofErr w:type="gramEnd"/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Количество электронных учебных изданий (включая учебники и учебные пособия)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единиц</w:t>
            </w:r>
          </w:p>
        </w:tc>
      </w:tr>
      <w:tr w:rsidR="00CB626F" w:rsidRPr="00CB626F" w:rsidTr="00CB626F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4.4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26F" w:rsidRPr="00CB626F" w:rsidRDefault="00CB626F" w:rsidP="00CB626F">
            <w:pPr>
              <w:spacing w:after="0" w:line="20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</w:pPr>
            <w:r w:rsidRPr="00CB626F">
              <w:rPr>
                <w:rFonts w:ascii="Times New Roman" w:eastAsia="Times New Roman" w:hAnsi="Times New Roman" w:cs="Times New Roman"/>
                <w:color w:val="2D2D2D"/>
                <w:sz w:val="13"/>
                <w:szCs w:val="13"/>
                <w:lang w:eastAsia="ru-RU"/>
              </w:rPr>
              <w:t>%</w:t>
            </w:r>
          </w:p>
        </w:tc>
      </w:tr>
    </w:tbl>
    <w:p w:rsidR="00CB626F" w:rsidRPr="00CB626F" w:rsidRDefault="00CB626F" w:rsidP="00CB626F">
      <w:pPr>
        <w:shd w:val="clear" w:color="auto" w:fill="FFFFFF"/>
        <w:spacing w:after="0" w:line="202" w:lineRule="atLeas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</w:pP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  <w:t>Редакция документа с учетом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lastRenderedPageBreak/>
        <w:t>изменений и дополнений подготовлена</w:t>
      </w:r>
      <w:r w:rsidRPr="00CB626F">
        <w:rPr>
          <w:rFonts w:ascii="Arial" w:eastAsia="Times New Roman" w:hAnsi="Arial" w:cs="Arial"/>
          <w:color w:val="2D2D2D"/>
          <w:spacing w:val="1"/>
          <w:sz w:val="13"/>
          <w:szCs w:val="13"/>
          <w:lang w:eastAsia="ru-RU"/>
        </w:rPr>
        <w:br/>
        <w:t>АО "Кодекс"</w:t>
      </w:r>
    </w:p>
    <w:p w:rsidR="00C046DE" w:rsidRDefault="00C046DE"/>
    <w:sectPr w:rsidR="00C046DE" w:rsidSect="00C04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B626F"/>
    <w:rsid w:val="00C046DE"/>
    <w:rsid w:val="00CB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DE"/>
  </w:style>
  <w:style w:type="paragraph" w:styleId="1">
    <w:name w:val="heading 1"/>
    <w:basedOn w:val="a"/>
    <w:link w:val="10"/>
    <w:uiPriority w:val="9"/>
    <w:qFormat/>
    <w:rsid w:val="00CB6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62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2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62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CB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B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62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626F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B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9433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99024581" TargetMode="External"/><Relationship Id="rId12" Type="http://schemas.openxmlformats.org/officeDocument/2006/relationships/hyperlink" Target="http://docs.cntd.ru/document/4203943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24581" TargetMode="External"/><Relationship Id="rId11" Type="http://schemas.openxmlformats.org/officeDocument/2006/relationships/hyperlink" Target="http://docs.cntd.ru/document/420394336" TargetMode="External"/><Relationship Id="rId5" Type="http://schemas.openxmlformats.org/officeDocument/2006/relationships/hyperlink" Target="http://docs.cntd.ru/document/902389617" TargetMode="External"/><Relationship Id="rId10" Type="http://schemas.openxmlformats.org/officeDocument/2006/relationships/hyperlink" Target="http://docs.cntd.ru/document/420394336" TargetMode="External"/><Relationship Id="rId4" Type="http://schemas.openxmlformats.org/officeDocument/2006/relationships/hyperlink" Target="http://docs.cntd.ru/document/420394336" TargetMode="External"/><Relationship Id="rId9" Type="http://schemas.openxmlformats.org/officeDocument/2006/relationships/hyperlink" Target="http://docs.cntd.ru/document/4203943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15</Pages>
  <Words>9098</Words>
  <Characters>51863</Characters>
  <Application>Microsoft Office Word</Application>
  <DocSecurity>0</DocSecurity>
  <Lines>432</Lines>
  <Paragraphs>121</Paragraphs>
  <ScaleCrop>false</ScaleCrop>
  <Company>SPecialiST RePack</Company>
  <LinksUpToDate>false</LinksUpToDate>
  <CharactersWithSpaces>60840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2019-02-22T07:53:00Z</dcterms:created>
  <dcterms:modified xsi:type="dcterms:W3CDTF">2019-02-22T07:52:00Z</dcterms:modified>
</cp:coreProperties>
</file>